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3402"/>
      </w:tblGrid>
      <w:tr w:rsidR="00206CA4" w:rsidRPr="00EA1ED4" w:rsidTr="00112411">
        <w:trPr>
          <w:trHeight w:val="338"/>
        </w:trPr>
        <w:tc>
          <w:tcPr>
            <w:tcW w:w="6345" w:type="dxa"/>
          </w:tcPr>
          <w:p w:rsidR="00206CA4" w:rsidRPr="00EA1ED4" w:rsidRDefault="00206CA4" w:rsidP="00112411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Align w:val="bottom"/>
          </w:tcPr>
          <w:p w:rsidR="00206CA4" w:rsidRPr="00112411" w:rsidRDefault="00206CA4" w:rsidP="000866B0">
            <w:pPr>
              <w:spacing w:line="240" w:lineRule="exact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1ED4">
              <w:rPr>
                <w:rFonts w:ascii="Times New Roman" w:hAnsi="Times New Roman"/>
                <w:sz w:val="28"/>
                <w:szCs w:val="28"/>
              </w:rPr>
              <w:t>Приложение №</w:t>
            </w:r>
            <w:r w:rsidR="00490D2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112411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206CA4" w:rsidRPr="00EA1ED4" w:rsidTr="00112411">
        <w:trPr>
          <w:trHeight w:val="338"/>
        </w:trPr>
        <w:tc>
          <w:tcPr>
            <w:tcW w:w="6345" w:type="dxa"/>
          </w:tcPr>
          <w:p w:rsidR="00206CA4" w:rsidRPr="00EA1ED4" w:rsidRDefault="00206CA4" w:rsidP="00112411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Align w:val="bottom"/>
          </w:tcPr>
          <w:p w:rsidR="00206CA4" w:rsidRPr="00EA1ED4" w:rsidRDefault="00206CA4" w:rsidP="00112411">
            <w:pPr>
              <w:spacing w:line="240" w:lineRule="exact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EA1ED4">
              <w:rPr>
                <w:rFonts w:ascii="Times New Roman" w:hAnsi="Times New Roman"/>
                <w:sz w:val="28"/>
                <w:szCs w:val="28"/>
              </w:rPr>
              <w:t>к Тарифному соглашению</w:t>
            </w:r>
          </w:p>
        </w:tc>
      </w:tr>
      <w:tr w:rsidR="00206CA4" w:rsidRPr="00EA1ED4" w:rsidTr="00112411">
        <w:trPr>
          <w:trHeight w:val="338"/>
        </w:trPr>
        <w:tc>
          <w:tcPr>
            <w:tcW w:w="6345" w:type="dxa"/>
          </w:tcPr>
          <w:p w:rsidR="00206CA4" w:rsidRPr="00EA1ED4" w:rsidRDefault="00206CA4" w:rsidP="00112411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Align w:val="bottom"/>
          </w:tcPr>
          <w:p w:rsidR="00206CA4" w:rsidRPr="00EA1ED4" w:rsidRDefault="00112411" w:rsidP="002564E3">
            <w:pPr>
              <w:spacing w:line="240" w:lineRule="exact"/>
              <w:ind w:lef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06CA4" w:rsidRPr="00EA1ED4">
              <w:rPr>
                <w:rFonts w:ascii="Times New Roman" w:hAnsi="Times New Roman"/>
                <w:sz w:val="28"/>
                <w:szCs w:val="28"/>
              </w:rPr>
              <w:t>т</w:t>
            </w:r>
            <w:r w:rsidR="000866B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2564E3">
              <w:rPr>
                <w:rFonts w:ascii="Times New Roman" w:hAnsi="Times New Roman"/>
                <w:sz w:val="28"/>
                <w:szCs w:val="28"/>
              </w:rPr>
              <w:t>30</w:t>
            </w:r>
            <w:bookmarkStart w:id="0" w:name="_GoBack"/>
            <w:bookmarkEnd w:id="0"/>
            <w:r w:rsidR="001500F8">
              <w:rPr>
                <w:rFonts w:ascii="Times New Roman" w:hAnsi="Times New Roman"/>
                <w:sz w:val="28"/>
                <w:szCs w:val="28"/>
              </w:rPr>
              <w:t>.</w:t>
            </w:r>
            <w:r w:rsidR="0025720A">
              <w:rPr>
                <w:rFonts w:ascii="Times New Roman" w:hAnsi="Times New Roman"/>
                <w:sz w:val="28"/>
                <w:szCs w:val="28"/>
                <w:lang w:val="en-US"/>
              </w:rPr>
              <w:t>12</w:t>
            </w:r>
            <w:r w:rsidR="00206CA4" w:rsidRPr="00EA1ED4">
              <w:rPr>
                <w:rFonts w:ascii="Times New Roman" w:hAnsi="Times New Roman"/>
                <w:sz w:val="28"/>
                <w:szCs w:val="28"/>
              </w:rPr>
              <w:t>.202</w:t>
            </w:r>
            <w:r w:rsidR="000866B0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 w:rsidR="00206CA4" w:rsidRPr="00EA1ED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2E3837" w:rsidRDefault="002E3837" w:rsidP="002E383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E3837" w:rsidRPr="002E3837" w:rsidRDefault="002E3837" w:rsidP="002E383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837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112411" w:rsidRPr="00112411" w:rsidRDefault="00112411" w:rsidP="00112411">
      <w:pPr>
        <w:widowControl w:val="0"/>
        <w:autoSpaceDE w:val="0"/>
        <w:autoSpaceDN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</w:pPr>
      <w:r w:rsidRPr="00112411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  <w:t xml:space="preserve">исследований, проводимых в центрах здоровья (центрах медицины здорового долголетия) и направленных на </w:t>
      </w:r>
      <w:r w:rsidRPr="001124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выявление изменений в организме человека, которые могут привести к преждевременной активации механизмов старения и формированию факторов риска развития заболеваний (далее – предриски)</w:t>
      </w:r>
    </w:p>
    <w:p w:rsidR="002E3837" w:rsidRPr="002E3837" w:rsidRDefault="002E3837" w:rsidP="002E3837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12411" w:rsidRPr="00112411" w:rsidRDefault="00112411" w:rsidP="0011241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1. Для определения преждевременной активации иммуновоспалительного механизма старения проводятся следующие исследования: </w:t>
      </w:r>
    </w:p>
    <w:p w:rsidR="00112411" w:rsidRPr="00112411" w:rsidRDefault="00112411" w:rsidP="0011241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клинический анализ крови с СОЭ;</w:t>
      </w:r>
    </w:p>
    <w:p w:rsidR="00112411" w:rsidRPr="00112411" w:rsidRDefault="00112411" w:rsidP="0011241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общий анализ мочи;</w:t>
      </w:r>
    </w:p>
    <w:p w:rsidR="00112411" w:rsidRPr="00112411" w:rsidRDefault="00112411" w:rsidP="0011241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биохимическое исследование крови для определения уровня ферритина, С‐реактивного белка, интерлейкина 6, цинка и магния, а также фактора некроза опухоли в случае отклонения в сторону увеличения показателей биологического возраста от календарного на 5 лет и более. </w:t>
      </w:r>
    </w:p>
    <w:p w:rsidR="00112411" w:rsidRPr="00112411" w:rsidRDefault="00112411" w:rsidP="0011241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2. Для определения инсулинорезистентности, гликирования и преждевременной активации метаболического механизма старения проводится биохимическое исследование крови для определения уровня: </w:t>
      </w:r>
    </w:p>
    <w:p w:rsidR="00112411" w:rsidRPr="00112411" w:rsidRDefault="00112411" w:rsidP="0011241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инсулина;</w:t>
      </w:r>
    </w:p>
    <w:p w:rsidR="00112411" w:rsidRPr="00112411" w:rsidRDefault="00112411" w:rsidP="0011241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глюкозы;</w:t>
      </w:r>
    </w:p>
    <w:p w:rsidR="00112411" w:rsidRPr="00112411" w:rsidRDefault="00112411" w:rsidP="0011241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гликозилированного гемоглобина (HBA1c);</w:t>
      </w:r>
    </w:p>
    <w:p w:rsidR="00112411" w:rsidRPr="00112411" w:rsidRDefault="00112411" w:rsidP="0011241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у мужчин -  тестостерона общего и свободного; </w:t>
      </w:r>
    </w:p>
    <w:p w:rsidR="00112411" w:rsidRPr="00112411" w:rsidRDefault="00112411" w:rsidP="0011241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у женщин – эстрадиола;</w:t>
      </w:r>
    </w:p>
    <w:p w:rsidR="00112411" w:rsidRPr="00112411" w:rsidRDefault="00112411" w:rsidP="0011241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глобулина, связывающего половые гормоны;</w:t>
      </w:r>
    </w:p>
    <w:p w:rsidR="00112411" w:rsidRPr="00112411" w:rsidRDefault="00112411" w:rsidP="0011241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тиреотропного гормона (ТТГ);</w:t>
      </w:r>
    </w:p>
    <w:p w:rsidR="00112411" w:rsidRPr="00112411" w:rsidRDefault="00112411" w:rsidP="0011241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а также дегидроэпиандростерон-сульфата и инсулиноподобного фактора роста 1 (ИФР-1) в случае отклонения в сторону увеличения показателей биологического возраста от календарного на 5 лет и более.</w:t>
      </w:r>
    </w:p>
    <w:p w:rsidR="00112411" w:rsidRPr="00112411" w:rsidRDefault="00112411" w:rsidP="0011241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3. Для определения преждевременной активации механизма оксидативного стресса/митохондриальной дисфункции и сосудистого механизма старения (выявление предрисков заболеваний сердечно-сосудистой системы), регенерации тканей  проводится биохимическое исследование крови для определения уровня: </w:t>
      </w:r>
    </w:p>
    <w:p w:rsidR="00112411" w:rsidRPr="00112411" w:rsidRDefault="00112411" w:rsidP="0011241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малонового диальдегида (оксидативный стресс);</w:t>
      </w:r>
    </w:p>
    <w:p w:rsidR="00112411" w:rsidRPr="00112411" w:rsidRDefault="00112411" w:rsidP="0011241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холестерина общего;</w:t>
      </w:r>
    </w:p>
    <w:p w:rsidR="00112411" w:rsidRPr="00112411" w:rsidRDefault="00112411" w:rsidP="0011241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триглицеридов;</w:t>
      </w:r>
    </w:p>
    <w:p w:rsidR="00112411" w:rsidRPr="00112411" w:rsidRDefault="00112411" w:rsidP="0011241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lastRenderedPageBreak/>
        <w:t>холестерина липопротеидов низкой плотности и липопротеидов очень низкой плотности;</w:t>
      </w:r>
    </w:p>
    <w:p w:rsidR="00112411" w:rsidRPr="00112411" w:rsidRDefault="00112411" w:rsidP="0011241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холестерина липопротеидов высокой плотности;</w:t>
      </w:r>
    </w:p>
    <w:p w:rsidR="00112411" w:rsidRPr="00112411" w:rsidRDefault="00112411" w:rsidP="0011241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аполипопротеина </w:t>
      </w: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val="en-US" w:eastAsia="ru-RU"/>
        </w:rPr>
        <w:t>b</w:t>
      </w: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;</w:t>
      </w:r>
    </w:p>
    <w:p w:rsidR="00112411" w:rsidRPr="00112411" w:rsidRDefault="00112411" w:rsidP="0011241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липопротеида (а);</w:t>
      </w:r>
    </w:p>
    <w:p w:rsidR="00112411" w:rsidRPr="00112411" w:rsidRDefault="00112411" w:rsidP="0011241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мочевой кислоты;</w:t>
      </w:r>
    </w:p>
    <w:p w:rsidR="00112411" w:rsidRPr="00112411" w:rsidRDefault="00112411" w:rsidP="0011241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омега-3-индекса;</w:t>
      </w:r>
    </w:p>
    <w:p w:rsidR="00112411" w:rsidRPr="00112411" w:rsidRDefault="00112411" w:rsidP="0011241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гомоцистеина;</w:t>
      </w:r>
    </w:p>
    <w:p w:rsidR="00112411" w:rsidRPr="00112411" w:rsidRDefault="00112411" w:rsidP="0011241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витамина В12;</w:t>
      </w:r>
    </w:p>
    <w:p w:rsidR="00112411" w:rsidRPr="00112411" w:rsidRDefault="00112411" w:rsidP="0011241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фолиевой кислоты;</w:t>
      </w:r>
    </w:p>
    <w:p w:rsidR="00112411" w:rsidRPr="00112411" w:rsidRDefault="00112411" w:rsidP="0011241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Д-димера; </w:t>
      </w:r>
    </w:p>
    <w:p w:rsidR="00112411" w:rsidRPr="00112411" w:rsidRDefault="00112411" w:rsidP="0011241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железа;</w:t>
      </w:r>
    </w:p>
    <w:p w:rsidR="00112411" w:rsidRPr="00112411" w:rsidRDefault="00112411" w:rsidP="0011241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трансферрина;</w:t>
      </w:r>
    </w:p>
    <w:p w:rsidR="00112411" w:rsidRPr="00112411" w:rsidRDefault="00112411" w:rsidP="0011241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натрия;</w:t>
      </w:r>
    </w:p>
    <w:p w:rsidR="00112411" w:rsidRPr="00112411" w:rsidRDefault="00112411" w:rsidP="0011241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хлора;</w:t>
      </w:r>
    </w:p>
    <w:p w:rsidR="00112411" w:rsidRPr="00112411" w:rsidRDefault="00112411" w:rsidP="0011241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калия;</w:t>
      </w:r>
    </w:p>
    <w:p w:rsidR="00112411" w:rsidRPr="00112411" w:rsidRDefault="00112411" w:rsidP="0011241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а также про-натрийуретрического пептида в случае отклонения в сторону увеличения показателей биологического возраста от календарного на 5 лет и более;</w:t>
      </w:r>
    </w:p>
    <w:p w:rsidR="00112411" w:rsidRPr="00112411" w:rsidRDefault="00112411" w:rsidP="0011241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4. Для оценки преждевременной активации механизма старения, связанного с дисбактериозом кишечника, проводится 16-S секвенирование микробиома кишечника (при наличии инфраструктуры для проведения исследования).</w:t>
      </w:r>
    </w:p>
    <w:p w:rsidR="00112411" w:rsidRPr="00112411" w:rsidRDefault="00112411" w:rsidP="0011241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5. Для раннего выявления предриска развития нарушений опорно-двигательной системы (остеопороза/саркопении) проводится биохимическое исследование крови для определения уровня:   </w:t>
      </w:r>
    </w:p>
    <w:p w:rsidR="00112411" w:rsidRPr="00112411" w:rsidRDefault="00112411" w:rsidP="0011241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кальция ионизированного и общего; </w:t>
      </w:r>
    </w:p>
    <w:p w:rsidR="00112411" w:rsidRPr="00112411" w:rsidRDefault="00112411" w:rsidP="0011241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фосфора;</w:t>
      </w:r>
    </w:p>
    <w:p w:rsidR="00112411" w:rsidRPr="00112411" w:rsidRDefault="00112411" w:rsidP="0011241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25‐ОН‐витамина D;</w:t>
      </w:r>
    </w:p>
    <w:p w:rsidR="00112411" w:rsidRPr="00112411" w:rsidRDefault="00112411" w:rsidP="0011241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щелочной фосфатазы;</w:t>
      </w:r>
    </w:p>
    <w:p w:rsidR="00112411" w:rsidRPr="00112411" w:rsidRDefault="00112411" w:rsidP="0011241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С-терминального телопептида сыворотки (</w:t>
      </w: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val="en-US" w:eastAsia="ru-RU"/>
        </w:rPr>
        <w:t>I</w:t>
      </w: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типа) при наличии инфраструктуры для проведения исследования.</w:t>
      </w:r>
    </w:p>
    <w:p w:rsidR="00112411" w:rsidRPr="00112411" w:rsidRDefault="00112411" w:rsidP="0011241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6. Для раннего выявления предрисков развития нарушения обмена веществ, ожирения и связанных с этим заболеваний проводятся:</w:t>
      </w:r>
    </w:p>
    <w:p w:rsidR="00112411" w:rsidRPr="00112411" w:rsidRDefault="00112411" w:rsidP="0011241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биоимпедансметрия;</w:t>
      </w:r>
    </w:p>
    <w:p w:rsidR="00112411" w:rsidRPr="00112411" w:rsidRDefault="00112411" w:rsidP="0011241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биохимические исследование крови в соответствии с пунктом 3 настоящего приложения. </w:t>
      </w:r>
    </w:p>
    <w:p w:rsidR="00112411" w:rsidRPr="00112411" w:rsidRDefault="00112411" w:rsidP="0011241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7. Для раннего выявления признаков снижения когнитивных функций и нарушений психоэмоциального состояния проводится:</w:t>
      </w:r>
    </w:p>
    <w:p w:rsidR="00112411" w:rsidRPr="00112411" w:rsidRDefault="00112411" w:rsidP="0011241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lastRenderedPageBreak/>
        <w:t>исследование с использованием зарегистрированных программных продуктов для оценки когнитивных функций и психоэмоционального состояния;</w:t>
      </w:r>
    </w:p>
    <w:p w:rsidR="00112411" w:rsidRPr="00112411" w:rsidRDefault="00112411" w:rsidP="0011241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241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биохимические исследование крови в соответствии с пунктом 3 настоящего приложения.</w:t>
      </w:r>
    </w:p>
    <w:p w:rsidR="00745508" w:rsidRPr="00156671" w:rsidRDefault="00745508" w:rsidP="001124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745508" w:rsidRPr="00156671" w:rsidSect="0011241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837"/>
    <w:rsid w:val="000866B0"/>
    <w:rsid w:val="000A4C5A"/>
    <w:rsid w:val="000A4FC9"/>
    <w:rsid w:val="00112411"/>
    <w:rsid w:val="001500F8"/>
    <w:rsid w:val="00156671"/>
    <w:rsid w:val="0020186C"/>
    <w:rsid w:val="00206CA4"/>
    <w:rsid w:val="002564E3"/>
    <w:rsid w:val="0025720A"/>
    <w:rsid w:val="002621D9"/>
    <w:rsid w:val="00276CF2"/>
    <w:rsid w:val="002E3837"/>
    <w:rsid w:val="002F4024"/>
    <w:rsid w:val="003433D3"/>
    <w:rsid w:val="003C302C"/>
    <w:rsid w:val="003C36D6"/>
    <w:rsid w:val="003E06AD"/>
    <w:rsid w:val="004108E0"/>
    <w:rsid w:val="00440BA9"/>
    <w:rsid w:val="00447FA9"/>
    <w:rsid w:val="004848F6"/>
    <w:rsid w:val="00490D21"/>
    <w:rsid w:val="005806AF"/>
    <w:rsid w:val="005F1F87"/>
    <w:rsid w:val="007335A5"/>
    <w:rsid w:val="00745508"/>
    <w:rsid w:val="008F3928"/>
    <w:rsid w:val="00917181"/>
    <w:rsid w:val="00927976"/>
    <w:rsid w:val="00932C21"/>
    <w:rsid w:val="009735DE"/>
    <w:rsid w:val="00A04E21"/>
    <w:rsid w:val="00A23B01"/>
    <w:rsid w:val="00A30882"/>
    <w:rsid w:val="00A51621"/>
    <w:rsid w:val="00AD5B58"/>
    <w:rsid w:val="00B0545B"/>
    <w:rsid w:val="00B332AA"/>
    <w:rsid w:val="00C044FA"/>
    <w:rsid w:val="00CA42B3"/>
    <w:rsid w:val="00D1123E"/>
    <w:rsid w:val="00D164DB"/>
    <w:rsid w:val="00D978D2"/>
    <w:rsid w:val="00E2542F"/>
    <w:rsid w:val="00E63533"/>
    <w:rsid w:val="00F233BF"/>
    <w:rsid w:val="00F62754"/>
    <w:rsid w:val="00FA604D"/>
    <w:rsid w:val="00FA6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38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E38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38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E38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В. Малашенко</dc:creator>
  <cp:lastModifiedBy>Светлана В. Малашенко</cp:lastModifiedBy>
  <cp:revision>3</cp:revision>
  <cp:lastPrinted>2024-12-25T07:34:00Z</cp:lastPrinted>
  <dcterms:created xsi:type="dcterms:W3CDTF">2025-12-25T12:09:00Z</dcterms:created>
  <dcterms:modified xsi:type="dcterms:W3CDTF">2025-12-26T13:46:00Z</dcterms:modified>
</cp:coreProperties>
</file>